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1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Times New Roman" w:hAnsi="Times New Roman" w:eastAsia="方正黑体_GBK" w:cs="Times New Roman"/>
          <w:sz w:val="33"/>
          <w:szCs w:val="33"/>
          <w:highlight w:val="none"/>
        </w:rPr>
      </w:pPr>
      <w:r>
        <w:rPr>
          <w:rFonts w:hint="eastAsia" w:ascii="Times New Roman" w:hAnsi="Times New Roman" w:eastAsia="方正黑体_GBK" w:cs="Times New Roman"/>
          <w:sz w:val="33"/>
          <w:szCs w:val="33"/>
          <w:highlight w:val="none"/>
        </w:rPr>
        <w:t>附件1</w:t>
      </w:r>
    </w:p>
    <w:p w14:paraId="49F9D1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  <w:t>广安投资集团简介</w:t>
      </w:r>
    </w:p>
    <w:bookmarkEnd w:id="0"/>
    <w:p w14:paraId="247DB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</w:p>
    <w:p w14:paraId="37A13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广安投资集团是广安市唯一市属独资的国有资本投资运营公司，于2021年12月31日完成登记，注册资本金50亿元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</w:rPr>
        <w:t>，主营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  <w:lang w:val="en-US" w:eastAsia="zh-CN"/>
        </w:rPr>
        <w:t>产业投资（围绕构建现代产业体系，聚焦广安优势主导产业、战略性新兴产业）、数字经济（围绕数字广安建设，致力于拓展新型智慧城市建设与服务、数据治理与运营）、金融服务（围绕赋能实体经济高质量发展，提供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</w:rPr>
        <w:t>多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</w:rPr>
        <w:t>化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  <w:lang w:val="en-US" w:eastAsia="zh-CN"/>
        </w:rPr>
        <w:t>金融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</w:rPr>
        <w:t>产品</w:t>
      </w:r>
      <w:r>
        <w:rPr>
          <w:rFonts w:hint="default" w:ascii="Times New Roman" w:hAnsi="Times New Roman" w:eastAsia="方正仿宋_GBK" w:cs="Times New Roman"/>
          <w:bCs/>
          <w:color w:val="auto"/>
          <w:sz w:val="33"/>
          <w:szCs w:val="33"/>
          <w:highlight w:val="none"/>
          <w:u w:val="none"/>
          <w:lang w:val="en-US" w:eastAsia="zh-CN"/>
        </w:rPr>
        <w:t>和服务）。</w:t>
      </w:r>
    </w:p>
    <w:p w14:paraId="032A6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pacing w:val="0"/>
          <w:kern w:val="2"/>
          <w:sz w:val="33"/>
          <w:szCs w:val="33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集团内设综合部、党建人资部等9个部门，下辖广安金财集团、金澳实业公司、大数据集团、中医药集团、成都安蓉公司、能源投资公司6家一级子企业（成都安蓉公司为提级管理）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，战略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  <w:t>并表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2家市属国企以及3家县级国有企业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3"/>
          <w:szCs w:val="33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主体信用评级AA+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eastAsia="zh-CN"/>
        </w:rPr>
        <w:t>。</w:t>
      </w:r>
    </w:p>
    <w:p w14:paraId="7BC32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eastAsia="zh-CN"/>
        </w:rPr>
        <w:t>集团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秉承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投天下·资未来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的理念，紧紧围绕广安市委、市政府中心工作，坚持把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AAA评级、万亿资产、百年老店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作为奋斗目标，服务全市经济社会发展大局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作为广安市国资国企高质量发展的排头兵，参与入股国家制造业装备升级基金、省区域协同发展基金、四川银行、</w:t>
      </w:r>
      <w:r>
        <w:rPr>
          <w:rFonts w:hint="default" w:ascii="Times New Roman" w:hAnsi="Times New Roman" w:eastAsia="方正仿宋_GBK" w:cs="Times New Roman"/>
          <w:b w:val="0"/>
          <w:color w:val="000000" w:themeColor="text1"/>
          <w:kern w:val="2"/>
          <w:sz w:val="33"/>
          <w:szCs w:val="3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广安市农商行、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川渝合作高竹新区产城融合等基金和项目，投资建设成都·广安生物医药协作研发产业基地、广安市智慧公共服务基础设施建设项目，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3"/>
          <w:szCs w:val="33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建成全省首个地方数据要素服务站，拓展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2"/>
          <w:sz w:val="33"/>
          <w:szCs w:val="33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2"/>
          <w:sz w:val="33"/>
          <w:szCs w:val="33"/>
          <w:highlight w:val="none"/>
          <w:lang w:val="en-US" w:eastAsia="zh-CN" w:bidi="ar-SA"/>
        </w:rPr>
        <w:t>中医药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2"/>
          <w:sz w:val="33"/>
          <w:szCs w:val="33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kern w:val="2"/>
          <w:sz w:val="33"/>
          <w:szCs w:val="33"/>
          <w:highlight w:val="none"/>
          <w:lang w:val="en-US" w:eastAsia="zh-CN" w:bidi="ar-SA"/>
        </w:rPr>
        <w:t>+新业态，</w:t>
      </w: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highlight w:val="none"/>
          <w:u w:val="none"/>
          <w:lang w:val="en-US" w:eastAsia="zh-CN"/>
        </w:rPr>
        <w:t>全链条参与广安市天然气开发，布局绿氢、储能等新能源项目，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取得了较好的经济和社会效益，集团及成员单位先后获得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中国金融行业十大影响力品牌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服务实体经济十大金融品牌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中国私募基金影响力100强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四川省优秀服务业企业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  <w:t>国家高新技术企业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等多项殊荣。</w:t>
      </w:r>
    </w:p>
    <w:p w14:paraId="44AE8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未来，广安投资集团将按照发展定位，聚焦国家战略性新兴产业，布局生物医药、数字经济等高景气度新兴产业赛道，做深、做精金融服务、实体产业、数字经济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三驾马车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，构建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三带两轴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（金融+实体+数据带动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双飞地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+市民服务中心）产业集群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新业态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  <w:t>全面构建多元化的业务生态，奋力书写高质量发展新篇章！</w:t>
      </w:r>
    </w:p>
    <w:p w14:paraId="033EC019">
      <w:pPr>
        <w:jc w:val="both"/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</w:p>
    <w:sectPr>
      <w:footerReference r:id="rId3" w:type="default"/>
      <w:pgSz w:w="11906" w:h="16838"/>
      <w:pgMar w:top="2041" w:right="1531" w:bottom="170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52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0B6B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0B6B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7973"/>
    <w:rsid w:val="0297204E"/>
    <w:rsid w:val="02AE7397"/>
    <w:rsid w:val="03D41080"/>
    <w:rsid w:val="05F31C91"/>
    <w:rsid w:val="067D1F4E"/>
    <w:rsid w:val="07617B9D"/>
    <w:rsid w:val="081163FE"/>
    <w:rsid w:val="084A7B62"/>
    <w:rsid w:val="096E008C"/>
    <w:rsid w:val="10613C9B"/>
    <w:rsid w:val="110E5BD1"/>
    <w:rsid w:val="134C29E0"/>
    <w:rsid w:val="147321EF"/>
    <w:rsid w:val="1547677E"/>
    <w:rsid w:val="15F01D49"/>
    <w:rsid w:val="18151B68"/>
    <w:rsid w:val="18D25736"/>
    <w:rsid w:val="1C1222ED"/>
    <w:rsid w:val="1C640D9B"/>
    <w:rsid w:val="1C8E406A"/>
    <w:rsid w:val="1D392227"/>
    <w:rsid w:val="1D7E40DE"/>
    <w:rsid w:val="1DA43419"/>
    <w:rsid w:val="1DF04F70"/>
    <w:rsid w:val="1E7F010E"/>
    <w:rsid w:val="1F1C595D"/>
    <w:rsid w:val="1F9803AC"/>
    <w:rsid w:val="20360CA0"/>
    <w:rsid w:val="20662F0B"/>
    <w:rsid w:val="20C6136E"/>
    <w:rsid w:val="20CD0136"/>
    <w:rsid w:val="21314264"/>
    <w:rsid w:val="216B6728"/>
    <w:rsid w:val="22524A6B"/>
    <w:rsid w:val="22653373"/>
    <w:rsid w:val="22C00CF5"/>
    <w:rsid w:val="236E24FF"/>
    <w:rsid w:val="2437052E"/>
    <w:rsid w:val="24A06E56"/>
    <w:rsid w:val="25BF34E6"/>
    <w:rsid w:val="26DB434F"/>
    <w:rsid w:val="27675BE3"/>
    <w:rsid w:val="282D4176"/>
    <w:rsid w:val="2B623B12"/>
    <w:rsid w:val="2BFD1E65"/>
    <w:rsid w:val="2DC457CA"/>
    <w:rsid w:val="2E2E2FB7"/>
    <w:rsid w:val="2EC639EA"/>
    <w:rsid w:val="2ED0406E"/>
    <w:rsid w:val="2F8F6EFD"/>
    <w:rsid w:val="30BD0622"/>
    <w:rsid w:val="355E3663"/>
    <w:rsid w:val="356E638F"/>
    <w:rsid w:val="35A63D7A"/>
    <w:rsid w:val="36015455"/>
    <w:rsid w:val="36E96615"/>
    <w:rsid w:val="37C329C2"/>
    <w:rsid w:val="37FE7E9E"/>
    <w:rsid w:val="382F44FB"/>
    <w:rsid w:val="38A327F3"/>
    <w:rsid w:val="3BCE7B87"/>
    <w:rsid w:val="3C8B3CCA"/>
    <w:rsid w:val="3D2531E2"/>
    <w:rsid w:val="3D5A46F3"/>
    <w:rsid w:val="3DCC459A"/>
    <w:rsid w:val="3E210442"/>
    <w:rsid w:val="422B7AE1"/>
    <w:rsid w:val="42440BA3"/>
    <w:rsid w:val="425863FC"/>
    <w:rsid w:val="42CE66BF"/>
    <w:rsid w:val="44BF2763"/>
    <w:rsid w:val="44CD30D2"/>
    <w:rsid w:val="451F76A5"/>
    <w:rsid w:val="46116FEE"/>
    <w:rsid w:val="47367845"/>
    <w:rsid w:val="4794093C"/>
    <w:rsid w:val="4805216F"/>
    <w:rsid w:val="481608EC"/>
    <w:rsid w:val="4AE03281"/>
    <w:rsid w:val="4B361C5E"/>
    <w:rsid w:val="4D013B98"/>
    <w:rsid w:val="4D752558"/>
    <w:rsid w:val="4E445276"/>
    <w:rsid w:val="4E5215D2"/>
    <w:rsid w:val="4F560168"/>
    <w:rsid w:val="504D51C4"/>
    <w:rsid w:val="51637845"/>
    <w:rsid w:val="52C04276"/>
    <w:rsid w:val="52C13B4A"/>
    <w:rsid w:val="5322283B"/>
    <w:rsid w:val="536E3CD2"/>
    <w:rsid w:val="54843081"/>
    <w:rsid w:val="55172147"/>
    <w:rsid w:val="556877D0"/>
    <w:rsid w:val="59B91A1F"/>
    <w:rsid w:val="5BAF30D9"/>
    <w:rsid w:val="5CE2128D"/>
    <w:rsid w:val="5DDB4F6C"/>
    <w:rsid w:val="5E1C257C"/>
    <w:rsid w:val="5EA507C4"/>
    <w:rsid w:val="5F893C41"/>
    <w:rsid w:val="642D54E3"/>
    <w:rsid w:val="65081AA2"/>
    <w:rsid w:val="693E3CEF"/>
    <w:rsid w:val="6D3F3B91"/>
    <w:rsid w:val="6DB56BB6"/>
    <w:rsid w:val="6EA63EC8"/>
    <w:rsid w:val="6F062BB9"/>
    <w:rsid w:val="6FD9207B"/>
    <w:rsid w:val="72A3445E"/>
    <w:rsid w:val="745A17E0"/>
    <w:rsid w:val="77901BB9"/>
    <w:rsid w:val="792627D5"/>
    <w:rsid w:val="798E3C88"/>
    <w:rsid w:val="7B6844E1"/>
    <w:rsid w:val="7D6438CC"/>
    <w:rsid w:val="7DC425BD"/>
    <w:rsid w:val="7EAE0AEE"/>
    <w:rsid w:val="7EAF501B"/>
    <w:rsid w:val="7ED625A7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4537</Words>
  <Characters>4645</Characters>
  <Lines>0</Lines>
  <Paragraphs>0</Paragraphs>
  <TotalTime>0</TotalTime>
  <ScaleCrop>false</ScaleCrop>
  <LinksUpToDate>false</LinksUpToDate>
  <CharactersWithSpaces>4728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2026-02-24T03:05:00Z</dcterms:created>
  <dc:creator>Administrator</dc:creator>
  <cp:lastModifiedBy>D lieo.</cp:lastModifiedBy>
  <cp:lastPrinted>2026-03-03T08:08:00Z</cp:lastPrinted>
  <dcterms:modified xsi:type="dcterms:W3CDTF">2026-03-04T09:27:37Z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eyJoZGlkIjoiMzBmMjliMDc0YTQxNjQxZjlhNDE4NzU5YmEzMmQwZTIiLCJ1c2VySWQiOiI2MjU1NDE2ODEifQ==</vt:lpwstr>
  </property>
  <property fmtid="{D5CDD505-2E9C-101B-9397-08002B2CF9AE}" pid="4" name="ICV">
    <vt:lpwstr>41209977313F43908CA5C7B019FAB916_13</vt:lpwstr>
  </property>
</Properties>
</file>